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710" w:rsidRPr="00A653A7" w:rsidRDefault="00F50D75" w:rsidP="00C76710">
      <w:pPr>
        <w:spacing w:after="30" w:line="240" w:lineRule="auto"/>
        <w:jc w:val="center"/>
        <w:textAlignment w:val="baseline"/>
        <w:outlineLvl w:val="0"/>
        <w:rPr>
          <w:rFonts w:ascii="Candara" w:eastAsia="Times New Roman" w:hAnsi="Candara" w:cs="Arial"/>
          <w:b/>
          <w:kern w:val="36"/>
          <w:sz w:val="28"/>
          <w:szCs w:val="28"/>
          <w:lang w:eastAsia="it-IT"/>
        </w:rPr>
      </w:pPr>
      <w:r w:rsidRPr="00A653A7">
        <w:rPr>
          <w:rFonts w:ascii="Candara" w:eastAsia="Times New Roman" w:hAnsi="Candara" w:cs="Arial"/>
          <w:b/>
          <w:kern w:val="36"/>
          <w:sz w:val="28"/>
          <w:szCs w:val="28"/>
          <w:lang w:eastAsia="it-IT"/>
        </w:rPr>
        <w:t>Campionati (ex Olimpiadi) d</w:t>
      </w:r>
      <w:r w:rsidR="00C76710" w:rsidRPr="00A653A7">
        <w:rPr>
          <w:rFonts w:ascii="Candara" w:eastAsia="Times New Roman" w:hAnsi="Candara" w:cs="Arial"/>
          <w:b/>
          <w:kern w:val="36"/>
          <w:sz w:val="28"/>
          <w:szCs w:val="28"/>
          <w:lang w:eastAsia="it-IT"/>
        </w:rPr>
        <w:t xml:space="preserve">i lingue e civiltà classiche- </w:t>
      </w:r>
    </w:p>
    <w:p w:rsidR="00C76710" w:rsidRPr="00A653A7" w:rsidRDefault="00013065" w:rsidP="00C76710">
      <w:pPr>
        <w:spacing w:after="30" w:line="240" w:lineRule="auto"/>
        <w:jc w:val="center"/>
        <w:textAlignment w:val="baseline"/>
        <w:outlineLvl w:val="0"/>
        <w:rPr>
          <w:rFonts w:ascii="Candara" w:eastAsia="Times New Roman" w:hAnsi="Candara" w:cs="Arial"/>
          <w:b/>
          <w:kern w:val="36"/>
          <w:sz w:val="28"/>
          <w:szCs w:val="28"/>
          <w:lang w:eastAsia="it-IT"/>
        </w:rPr>
      </w:pPr>
      <w:r w:rsidRPr="00A653A7">
        <w:rPr>
          <w:rFonts w:ascii="Candara" w:eastAsia="Times New Roman" w:hAnsi="Candara" w:cs="Arial"/>
          <w:b/>
          <w:kern w:val="36"/>
          <w:sz w:val="28"/>
          <w:szCs w:val="28"/>
          <w:lang w:eastAsia="it-IT"/>
        </w:rPr>
        <w:t>XII edizione – A.S. 2024- 2025</w:t>
      </w:r>
    </w:p>
    <w:p w:rsidR="00F50D75" w:rsidRPr="00A653A7" w:rsidRDefault="00F50D75" w:rsidP="00C76710">
      <w:pPr>
        <w:spacing w:after="30" w:line="240" w:lineRule="auto"/>
        <w:jc w:val="center"/>
        <w:textAlignment w:val="baseline"/>
        <w:outlineLvl w:val="0"/>
        <w:rPr>
          <w:rFonts w:ascii="Candara" w:eastAsia="Times New Roman" w:hAnsi="Candara" w:cs="Arial"/>
          <w:b/>
          <w:kern w:val="36"/>
          <w:sz w:val="28"/>
          <w:szCs w:val="28"/>
          <w:lang w:eastAsia="it-IT"/>
        </w:rPr>
      </w:pPr>
      <w:r w:rsidRPr="00A653A7">
        <w:rPr>
          <w:rFonts w:ascii="Candara" w:eastAsia="Times New Roman" w:hAnsi="Candara" w:cs="Arial"/>
          <w:b/>
          <w:kern w:val="36"/>
          <w:sz w:val="28"/>
          <w:szCs w:val="28"/>
          <w:lang w:eastAsia="it-IT"/>
        </w:rPr>
        <w:t>Gara di istituto per la selezione interna</w:t>
      </w:r>
    </w:p>
    <w:p w:rsidR="00F50D75" w:rsidRPr="00A653A7" w:rsidRDefault="00F50D75" w:rsidP="00F50D75">
      <w:pPr>
        <w:shd w:val="clear" w:color="auto" w:fill="FFFFFF"/>
        <w:spacing w:after="0" w:line="240" w:lineRule="auto"/>
        <w:textAlignment w:val="baseline"/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</w:pPr>
    </w:p>
    <w:p w:rsidR="00C76710" w:rsidRPr="00A653A7" w:rsidRDefault="00F50D75" w:rsidP="00C71D4D">
      <w:pPr>
        <w:shd w:val="clear" w:color="auto" w:fill="FFFFFF"/>
        <w:spacing w:after="360" w:line="240" w:lineRule="auto"/>
        <w:textAlignment w:val="baseline"/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</w:pP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Si comunica </w:t>
      </w:r>
      <w:r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 xml:space="preserve">ai Signori </w:t>
      </w:r>
      <w:r w:rsidR="00487436"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Docenti</w:t>
      </w:r>
      <w:r w:rsidR="00487436"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, </w:t>
      </w:r>
      <w:r w:rsidR="001E1EC4"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agli alunni indicati in elenco</w:t>
      </w: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 ed </w:t>
      </w:r>
      <w:r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alle</w:t>
      </w:r>
      <w:r w:rsidR="001E1EC4"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 xml:space="preserve"> loro</w:t>
      </w:r>
      <w:r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 xml:space="preserve"> famiglie</w:t>
      </w: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 che la prova finalizzata alla selezione interna dei candidati ai Campionati di lingue e civi</w:t>
      </w:r>
      <w:r w:rsidR="00C76710"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ltà classiche avrà luogo </w:t>
      </w:r>
      <w:r w:rsidR="00013065"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venerdì 28</w:t>
      </w: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 </w:t>
      </w:r>
      <w:r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febbraio p.v</w:t>
      </w: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. </w:t>
      </w:r>
    </w:p>
    <w:p w:rsidR="00EE6660" w:rsidRPr="00A653A7" w:rsidRDefault="00F50D75" w:rsidP="00C71D4D">
      <w:pPr>
        <w:shd w:val="clear" w:color="auto" w:fill="FFFFFF"/>
        <w:spacing w:after="360" w:line="240" w:lineRule="auto"/>
        <w:textAlignment w:val="baseline"/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</w:pP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La prova, articolata nelle </w:t>
      </w:r>
      <w:r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tre diverse tipologie,</w:t>
      </w: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 (</w:t>
      </w:r>
      <w:r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sezione A</w:t>
      </w: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>: traduzione dal latino</w:t>
      </w:r>
      <w:r w:rsidR="00DD74BB"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>, analisi di uno o più brani latini in traduzione e commento strutturato</w:t>
      </w: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; </w:t>
      </w:r>
      <w:r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sezione B</w:t>
      </w: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>: traduzione dal greco</w:t>
      </w:r>
      <w:r w:rsidR="00DD74BB"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>, analisi di uno o più brani greci in traduzione e commento strutturato</w:t>
      </w:r>
      <w:r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; sezione</w:t>
      </w: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 </w:t>
      </w:r>
      <w:r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C</w:t>
      </w: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: saggio- civiltà latina e civiltà greco-latina) si svolgerà in </w:t>
      </w:r>
      <w:r w:rsidR="00013065"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Auditorium</w:t>
      </w:r>
      <w:r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.</w:t>
      </w: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br/>
        <w:t>Gli al</w:t>
      </w:r>
      <w:r w:rsidR="00013065"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unni si recheranno in </w:t>
      </w:r>
      <w:r w:rsidR="00013065"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Auditorium</w:t>
      </w:r>
      <w:r w:rsidR="00DD74BB"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 xml:space="preserve"> alle</w:t>
      </w:r>
      <w:r w:rsidR="00487436"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 xml:space="preserve"> ore</w:t>
      </w:r>
      <w:r w:rsidR="00DD74BB"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 xml:space="preserve"> 8,30</w:t>
      </w:r>
      <w:r w:rsidR="00013065"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 dopo l’appello nelle rispettive classi  (i Docenti della prima ora avranno cura di segnarli come “Fuori classe”)</w:t>
      </w:r>
      <w:r w:rsidR="00C71D4D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 </w:t>
      </w:r>
      <w:r w:rsidR="00013065"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>e,</w:t>
      </w:r>
      <w:r w:rsidR="00DD74BB"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 </w:t>
      </w: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 concluse la fasi</w:t>
      </w:r>
      <w:r w:rsidR="00013065"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 di registrazione </w:t>
      </w: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 e di consegna delle tracce, svolgeranno la prova che avrà la durata di quattro ore.</w:t>
      </w:r>
    </w:p>
    <w:p w:rsidR="00EE6660" w:rsidRPr="00A653A7" w:rsidRDefault="00F50D75" w:rsidP="00C71D4D">
      <w:pPr>
        <w:shd w:val="clear" w:color="auto" w:fill="FFFFFF"/>
        <w:spacing w:after="360" w:line="240" w:lineRule="auto"/>
        <w:textAlignment w:val="baseline"/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</w:pP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 La conclusione dell’attività si prevede per le </w:t>
      </w:r>
      <w:r w:rsidR="00013065"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ore 13,05</w:t>
      </w:r>
      <w:r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.</w:t>
      </w: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br/>
        <w:t>Ai sensi dell’art.12 del Regolamento si ricorda che non è consentito durante la prova l’utilizzo di telefoni cellulari o di altri dispositivi elettronici. Non è consentita la consultazione di testi cartacei o digitali ad eccezione dei vocabolari di italiano, di latino di greco.</w:t>
      </w:r>
    </w:p>
    <w:p w:rsidR="00C71D4D" w:rsidRDefault="00F50D75" w:rsidP="00C71D4D">
      <w:pPr>
        <w:shd w:val="clear" w:color="auto" w:fill="FFFFFF"/>
        <w:spacing w:after="360" w:line="240" w:lineRule="auto"/>
        <w:textAlignment w:val="baseline"/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</w:pP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 I fogli necessari agli elaborati- timbrati e siglati dalla Commissione- saranno forniti al momento della prova.</w:t>
      </w:r>
      <w:bookmarkStart w:id="0" w:name="_GoBack"/>
      <w:bookmarkEnd w:id="0"/>
    </w:p>
    <w:p w:rsidR="00A653A7" w:rsidRPr="00A653A7" w:rsidRDefault="00F50D75" w:rsidP="00C71D4D">
      <w:pPr>
        <w:shd w:val="clear" w:color="auto" w:fill="FFFFFF"/>
        <w:spacing w:after="360" w:line="240" w:lineRule="auto"/>
        <w:textAlignment w:val="baseline"/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</w:pP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br/>
      </w:r>
      <w:r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In allega</w:t>
      </w:r>
      <w:r w:rsidR="00D10254"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to</w:t>
      </w:r>
      <w:r w:rsidR="00D10254"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>:</w:t>
      </w:r>
      <w:r w:rsidR="00AD5D29"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 </w:t>
      </w:r>
      <w:r w:rsidR="00D10254"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la </w:t>
      </w:r>
      <w:r w:rsidR="00DD74BB"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>circolare del MIM del 20-1-2025</w:t>
      </w: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; il Regolamento; </w:t>
      </w:r>
      <w:r w:rsidR="001D7F6D"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le </w:t>
      </w:r>
      <w:r w:rsidR="00487436"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griglie di valutazione. </w:t>
      </w:r>
    </w:p>
    <w:p w:rsidR="00F50D75" w:rsidRPr="00A653A7" w:rsidRDefault="00F50D75" w:rsidP="00C71D4D">
      <w:pPr>
        <w:shd w:val="clear" w:color="auto" w:fill="FFFFFF"/>
        <w:spacing w:after="360" w:line="240" w:lineRule="auto"/>
        <w:textAlignment w:val="baseline"/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</w:pP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br/>
      </w:r>
      <w:r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Per ulteriori informazio</w:t>
      </w:r>
      <w:r w:rsidR="00487436" w:rsidRPr="00A653A7">
        <w:rPr>
          <w:rFonts w:ascii="Candara" w:eastAsia="Times New Roman" w:hAnsi="Candara" w:cs="Times New Roman"/>
          <w:b/>
          <w:color w:val="404040"/>
          <w:sz w:val="28"/>
          <w:szCs w:val="28"/>
          <w:lang w:eastAsia="it-IT"/>
        </w:rPr>
        <w:t>ni:</w:t>
      </w:r>
      <w:r w:rsidR="00487436"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 prof.ssa Patrizia Curatolo</w:t>
      </w:r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 xml:space="preserve">- prof.ssa Gina </w:t>
      </w:r>
      <w:proofErr w:type="spellStart"/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>Sciarrotta</w:t>
      </w:r>
      <w:proofErr w:type="spellEnd"/>
      <w:r w:rsidRPr="00A653A7">
        <w:rPr>
          <w:rFonts w:ascii="Candara" w:eastAsia="Times New Roman" w:hAnsi="Candara" w:cs="Times New Roman"/>
          <w:color w:val="404040"/>
          <w:sz w:val="28"/>
          <w:szCs w:val="28"/>
          <w:lang w:eastAsia="it-IT"/>
        </w:rPr>
        <w:t>.</w:t>
      </w:r>
    </w:p>
    <w:p w:rsidR="002C7E59" w:rsidRDefault="002C7E59"/>
    <w:sectPr w:rsidR="002C7E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D75"/>
    <w:rsid w:val="00013065"/>
    <w:rsid w:val="001D7F6D"/>
    <w:rsid w:val="001E1EC4"/>
    <w:rsid w:val="002C7E59"/>
    <w:rsid w:val="00487436"/>
    <w:rsid w:val="00520E9D"/>
    <w:rsid w:val="005715D9"/>
    <w:rsid w:val="007C35F0"/>
    <w:rsid w:val="00A653A7"/>
    <w:rsid w:val="00AD5D29"/>
    <w:rsid w:val="00C71D4D"/>
    <w:rsid w:val="00C76710"/>
    <w:rsid w:val="00D10254"/>
    <w:rsid w:val="00D26BC9"/>
    <w:rsid w:val="00DD74BB"/>
    <w:rsid w:val="00EE6660"/>
    <w:rsid w:val="00F5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63B2D"/>
  <w15:docId w15:val="{FB241F7C-3F55-43F8-94C5-4DECC7F1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0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3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Circolare n.</vt:lpstr>
      <vt:lpstr>Campionati (ex Olimpiadi) di lingue e civiltà classiche- </vt:lpstr>
      <vt:lpstr>XII edizione – A.S. 2024- 2025</vt:lpstr>
      <vt:lpstr>Gara di istituto per la selezione interna</vt:lpstr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Vicepreside</cp:lastModifiedBy>
  <cp:revision>7</cp:revision>
  <dcterms:created xsi:type="dcterms:W3CDTF">2025-02-23T16:01:00Z</dcterms:created>
  <dcterms:modified xsi:type="dcterms:W3CDTF">2025-02-25T10:14:00Z</dcterms:modified>
</cp:coreProperties>
</file>